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95" w:rsidRDefault="001D4D95" w:rsidP="007F22A9">
      <w:pPr>
        <w:jc w:val="both"/>
        <w:rPr>
          <w:sz w:val="2"/>
          <w:szCs w:val="2"/>
        </w:rPr>
      </w:pPr>
    </w:p>
    <w:p w:rsidR="001D4D95" w:rsidRPr="00B1127B" w:rsidRDefault="009C04AA" w:rsidP="007F22A9">
      <w:pPr>
        <w:jc w:val="both"/>
        <w:rPr>
          <w:b/>
          <w:sz w:val="72"/>
          <w:szCs w:val="72"/>
        </w:rPr>
      </w:pPr>
      <w:bookmarkStart w:id="0" w:name="bookmark0"/>
      <w:r w:rsidRPr="00B1127B">
        <w:rPr>
          <w:b/>
          <w:sz w:val="72"/>
          <w:szCs w:val="72"/>
        </w:rPr>
        <w:t>С точностью «</w:t>
      </w:r>
      <w:r w:rsidRPr="00B1127B">
        <w:rPr>
          <w:b/>
          <w:sz w:val="72"/>
          <w:szCs w:val="72"/>
        </w:rPr>
        <w:t>до</w:t>
      </w:r>
      <w:r w:rsidRPr="00B1127B">
        <w:rPr>
          <w:b/>
          <w:sz w:val="72"/>
          <w:szCs w:val="72"/>
        </w:rPr>
        <w:t xml:space="preserve"> наоборот»</w:t>
      </w:r>
      <w:bookmarkEnd w:id="0"/>
    </w:p>
    <w:p w:rsidR="001D4D95" w:rsidRDefault="009C04AA" w:rsidP="007F22A9">
      <w:pPr>
        <w:pStyle w:val="20"/>
        <w:framePr w:w="6115" w:h="2275" w:hRule="exact" w:wrap="none" w:vAnchor="page" w:hAnchor="page" w:x="857" w:y="2196"/>
        <w:shd w:val="clear" w:color="auto" w:fill="auto"/>
        <w:spacing w:line="221" w:lineRule="exact"/>
        <w:jc w:val="both"/>
      </w:pPr>
      <w:r>
        <w:t>Александр ГОРДЕЕВ,</w:t>
      </w:r>
    </w:p>
    <w:p w:rsidR="001D4D95" w:rsidRDefault="009C04AA" w:rsidP="007F22A9">
      <w:pPr>
        <w:pStyle w:val="20"/>
        <w:framePr w:w="6115" w:h="2275" w:hRule="exact" w:wrap="none" w:vAnchor="page" w:hAnchor="page" w:x="857" w:y="2196"/>
        <w:shd w:val="clear" w:color="auto" w:fill="auto"/>
        <w:spacing w:line="221" w:lineRule="exact"/>
        <w:jc w:val="both"/>
      </w:pPr>
      <w:r>
        <w:t>эксперт по промышленной безопасности, генеральный директор ООО</w:t>
      </w:r>
    </w:p>
    <w:p w:rsidR="00B1127B" w:rsidRDefault="009C04AA" w:rsidP="007F22A9">
      <w:pPr>
        <w:pStyle w:val="20"/>
        <w:framePr w:w="6115" w:h="2275" w:hRule="exact" w:wrap="none" w:vAnchor="page" w:hAnchor="page" w:x="857" w:y="2196"/>
        <w:pBdr>
          <w:bottom w:val="single" w:sz="4" w:space="1" w:color="auto"/>
        </w:pBdr>
        <w:shd w:val="clear" w:color="auto" w:fill="auto"/>
        <w:spacing w:after="180" w:line="240" w:lineRule="auto"/>
        <w:jc w:val="both"/>
      </w:pPr>
      <w:r>
        <w:t>«ПромЭкоИнвест»</w:t>
      </w:r>
    </w:p>
    <w:p w:rsidR="001D4D95" w:rsidRDefault="009C04AA" w:rsidP="007F22A9">
      <w:pPr>
        <w:pStyle w:val="40"/>
        <w:framePr w:w="6115" w:h="2275" w:hRule="exact" w:wrap="none" w:vAnchor="page" w:hAnchor="page" w:x="857" w:y="2196"/>
        <w:shd w:val="clear" w:color="auto" w:fill="auto"/>
        <w:spacing w:before="0"/>
        <w:jc w:val="both"/>
      </w:pPr>
      <w:r>
        <w:t xml:space="preserve">22 декабря 2014 года вступили в действие новые Федеральные нормы и правила в области промышленной безопасности (далее - ФНП) </w:t>
      </w:r>
      <w:r>
        <w:t>«Правила промышленной безопасности опасных производственных объектов, на которых используется оборудование, работающее под избыточным давлением» (утв. приказом Ростехнадзора от 25 марта 2014 года №116).</w:t>
      </w:r>
    </w:p>
    <w:p w:rsidR="001D4D95" w:rsidRDefault="009C04AA" w:rsidP="007F22A9">
      <w:pPr>
        <w:pStyle w:val="30"/>
        <w:framePr w:h="729" w:wrap="around" w:vAnchor="page" w:hAnchor="page" w:x="1039" w:y="4702"/>
        <w:shd w:val="clear" w:color="auto" w:fill="auto"/>
        <w:spacing w:line="607" w:lineRule="exact"/>
        <w:ind w:firstLine="0"/>
        <w:jc w:val="both"/>
      </w:pPr>
      <w:r>
        <w:rPr>
          <w:rFonts w:ascii="Arial Narrow" w:eastAsia="Arial Narrow" w:hAnsi="Arial Narrow" w:cs="Arial Narrow"/>
          <w:position w:val="-18"/>
          <w:sz w:val="80"/>
          <w:szCs w:val="80"/>
        </w:rPr>
        <w:t>С</w:t>
      </w:r>
    </w:p>
    <w:p w:rsidR="001D4D95" w:rsidRDefault="009C04AA" w:rsidP="007F22A9">
      <w:pPr>
        <w:pStyle w:val="30"/>
        <w:framePr w:w="3734" w:h="10944" w:hRule="exact" w:wrap="none" w:vAnchor="page" w:hAnchor="page" w:x="334" w:y="4686"/>
        <w:shd w:val="clear" w:color="auto" w:fill="auto"/>
        <w:ind w:left="1193" w:firstLine="0"/>
        <w:jc w:val="both"/>
      </w:pPr>
      <w:r>
        <w:t xml:space="preserve"> принятием новых ФНП </w:t>
      </w:r>
      <w:r w:rsidR="007F22A9">
        <w:t xml:space="preserve"> </w:t>
      </w:r>
      <w:r>
        <w:t>измене-</w:t>
      </w:r>
      <w:r>
        <w:br/>
        <w:t xml:space="preserve">ния коснулись порядка </w:t>
      </w:r>
      <w:r>
        <w:t>ввода</w:t>
      </w:r>
      <w:r>
        <w:br/>
        <w:t>в эксплуатацию технических</w:t>
      </w:r>
    </w:p>
    <w:p w:rsidR="001D4D95" w:rsidRDefault="009C04AA" w:rsidP="007F22A9">
      <w:pPr>
        <w:pStyle w:val="30"/>
        <w:framePr w:w="3734" w:h="10944" w:hRule="exact" w:wrap="none" w:vAnchor="page" w:hAnchor="page" w:x="334" w:y="4686"/>
        <w:shd w:val="clear" w:color="auto" w:fill="auto"/>
        <w:ind w:left="560" w:firstLine="0"/>
        <w:jc w:val="both"/>
      </w:pPr>
      <w:r>
        <w:t xml:space="preserve">устройств, работающих под </w:t>
      </w:r>
      <w:r w:rsidR="007F22A9">
        <w:t xml:space="preserve"> </w:t>
      </w:r>
      <w:r>
        <w:t>избыточ-</w:t>
      </w:r>
      <w:r>
        <w:br/>
        <w:t>ным давлением, а также порядка по-</w:t>
      </w:r>
      <w:r>
        <w:br/>
        <w:t>становки их на учет.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shd w:val="clear" w:color="auto" w:fill="auto"/>
        <w:ind w:left="560" w:firstLine="180"/>
        <w:jc w:val="both"/>
      </w:pPr>
      <w:r>
        <w:t xml:space="preserve">В числе нововведений стоит </w:t>
      </w:r>
      <w:r w:rsidR="007F22A9">
        <w:t xml:space="preserve"> </w:t>
      </w:r>
      <w:r>
        <w:t>выде-</w:t>
      </w:r>
    </w:p>
    <w:p w:rsidR="007F22A9" w:rsidRDefault="007F22A9" w:rsidP="007F22A9">
      <w:pPr>
        <w:pStyle w:val="20"/>
        <w:framePr w:w="3734" w:h="10944" w:hRule="exact" w:wrap="none" w:vAnchor="page" w:hAnchor="page" w:x="334" w:y="4686"/>
        <w:shd w:val="clear" w:color="auto" w:fill="auto"/>
        <w:ind w:left="560"/>
        <w:jc w:val="both"/>
      </w:pPr>
      <w:r>
        <w:t>лить следующие пункты: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numPr>
          <w:ilvl w:val="0"/>
          <w:numId w:val="4"/>
        </w:numPr>
        <w:shd w:val="clear" w:color="auto" w:fill="auto"/>
        <w:ind w:left="567" w:hanging="4"/>
        <w:jc w:val="both"/>
      </w:pPr>
      <w:r>
        <w:t>Изменилась последовательность</w:t>
      </w:r>
      <w:r>
        <w:br/>
        <w:t>ввода в эксплуатацию оборудования и</w:t>
      </w:r>
      <w:r>
        <w:br/>
      </w:r>
      <w:r>
        <w:t>постановки его на учет.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numPr>
          <w:ilvl w:val="0"/>
          <w:numId w:val="4"/>
        </w:numPr>
        <w:shd w:val="clear" w:color="auto" w:fill="auto"/>
        <w:ind w:left="567" w:hanging="4"/>
        <w:jc w:val="both"/>
      </w:pPr>
      <w:r>
        <w:t>Обновился</w:t>
      </w:r>
      <w:r w:rsidR="007F22A9">
        <w:t xml:space="preserve"> </w:t>
      </w:r>
      <w:r>
        <w:t xml:space="preserve"> перечень </w:t>
      </w:r>
      <w:r w:rsidR="007F22A9">
        <w:t xml:space="preserve"> </w:t>
      </w:r>
      <w:r>
        <w:t>документов,</w:t>
      </w:r>
      <w:r>
        <w:br/>
        <w:t>представляемых в контролирующий</w:t>
      </w:r>
      <w:r>
        <w:br/>
        <w:t>орган при регистрации технических</w:t>
      </w:r>
      <w:r>
        <w:br/>
        <w:t>устройств.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numPr>
          <w:ilvl w:val="0"/>
          <w:numId w:val="4"/>
        </w:numPr>
        <w:shd w:val="clear" w:color="auto" w:fill="auto"/>
        <w:ind w:left="567" w:hanging="4"/>
        <w:jc w:val="both"/>
      </w:pPr>
      <w:r>
        <w:t>Отменена процедура снятия с уче-</w:t>
      </w:r>
      <w:r>
        <w:br/>
        <w:t>та оборудования.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numPr>
          <w:ilvl w:val="0"/>
          <w:numId w:val="4"/>
        </w:numPr>
        <w:shd w:val="clear" w:color="auto" w:fill="auto"/>
        <w:ind w:left="567" w:hanging="4"/>
        <w:jc w:val="both"/>
      </w:pPr>
      <w:r>
        <w:t>Определен состав комиссии для пу-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shd w:val="clear" w:color="auto" w:fill="auto"/>
        <w:ind w:left="567" w:hanging="4"/>
        <w:jc w:val="both"/>
      </w:pPr>
      <w:r>
        <w:t>ска оборудования в эксплуатацию.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numPr>
          <w:ilvl w:val="0"/>
          <w:numId w:val="5"/>
        </w:numPr>
        <w:shd w:val="clear" w:color="auto" w:fill="auto"/>
        <w:ind w:left="567" w:hanging="4"/>
        <w:jc w:val="both"/>
      </w:pPr>
      <w:r>
        <w:t>Изменился перечень оборудования,</w:t>
      </w:r>
      <w:r>
        <w:br/>
        <w:t>подлежащего учету.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numPr>
          <w:ilvl w:val="0"/>
          <w:numId w:val="5"/>
        </w:numPr>
        <w:shd w:val="clear" w:color="auto" w:fill="auto"/>
        <w:ind w:left="567" w:hanging="4"/>
        <w:jc w:val="both"/>
      </w:pPr>
      <w:r>
        <w:t>Установлен четкий срок, в течение</w:t>
      </w:r>
      <w:r>
        <w:br/>
        <w:t>которого нужно поставить на учет обо-</w:t>
      </w:r>
      <w:r>
        <w:br/>
        <w:t>рудование, работающее под избыточ-</w:t>
      </w:r>
      <w:r>
        <w:br/>
        <w:t>ным давлением.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shd w:val="clear" w:color="auto" w:fill="auto"/>
        <w:ind w:left="567" w:hanging="4"/>
        <w:jc w:val="both"/>
      </w:pPr>
      <w:r>
        <w:t>При действии</w:t>
      </w:r>
      <w:r w:rsidR="007F22A9">
        <w:t xml:space="preserve"> </w:t>
      </w:r>
      <w:r>
        <w:t xml:space="preserve"> прежних</w:t>
      </w:r>
      <w:r w:rsidR="007F22A9">
        <w:t xml:space="preserve"> </w:t>
      </w:r>
      <w:r>
        <w:t xml:space="preserve"> норм и </w:t>
      </w:r>
      <w:r w:rsidR="007F22A9">
        <w:t xml:space="preserve"> </w:t>
      </w:r>
      <w:r>
        <w:t>пра-</w:t>
      </w:r>
      <w:r>
        <w:br/>
        <w:t xml:space="preserve">вил для того, чтобы инспектор </w:t>
      </w:r>
      <w:r w:rsidR="007F22A9">
        <w:t xml:space="preserve"> </w:t>
      </w:r>
      <w:r>
        <w:t>Ростех-</w:t>
      </w:r>
      <w:r>
        <w:br/>
        <w:t xml:space="preserve">надзора </w:t>
      </w:r>
      <w:r>
        <w:t>(Госгортехнадзора) сделал за-</w:t>
      </w:r>
      <w:r>
        <w:br/>
        <w:t xml:space="preserve">пись в паспорте о пуске в </w:t>
      </w:r>
      <w:r w:rsidR="007F22A9">
        <w:t xml:space="preserve"> </w:t>
      </w:r>
      <w:r>
        <w:t>эксплуата-</w:t>
      </w:r>
      <w:r>
        <w:br/>
        <w:t>цию оборудования, нужно было сна-</w:t>
      </w:r>
      <w:r>
        <w:br/>
        <w:t>чала зарегистрировать (поставить на</w:t>
      </w:r>
      <w:r>
        <w:br/>
        <w:t>учет) его как техническое устройство.</w:t>
      </w:r>
      <w:r>
        <w:br/>
        <w:t>Только после присвоения регистраци-</w:t>
      </w:r>
      <w:r>
        <w:br/>
        <w:t>онного номера техническому устрой-</w:t>
      </w:r>
      <w:r>
        <w:br/>
        <w:t>ству орган</w:t>
      </w:r>
      <w:r>
        <w:t>изация могла пригласить</w:t>
      </w:r>
      <w:r>
        <w:br/>
        <w:t>инспектора территориального управ-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shd w:val="clear" w:color="auto" w:fill="auto"/>
        <w:ind w:left="567" w:hanging="4"/>
        <w:jc w:val="both"/>
      </w:pPr>
      <w:r w:rsidRPr="007F22A9">
        <w:rPr>
          <w:rStyle w:val="295pt"/>
          <w:i w:val="0"/>
        </w:rPr>
        <w:t>ления</w:t>
      </w:r>
      <w:r>
        <w:t xml:space="preserve"> Ростехнадзора для ввода в </w:t>
      </w:r>
      <w:r w:rsidR="007F22A9">
        <w:t xml:space="preserve"> </w:t>
      </w:r>
      <w:r>
        <w:t>экс-</w:t>
      </w:r>
      <w:r>
        <w:br/>
      </w:r>
      <w:r>
        <w:t>плуатацию</w:t>
      </w:r>
      <w:r w:rsidR="007F22A9">
        <w:t xml:space="preserve"> сосуда, котла или трубопро-</w:t>
      </w:r>
      <w:r w:rsidR="007F22A9">
        <w:br/>
      </w:r>
      <w:r>
        <w:t>вода.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shd w:val="clear" w:color="auto" w:fill="auto"/>
        <w:ind w:left="567" w:hanging="4"/>
        <w:jc w:val="both"/>
      </w:pPr>
      <w:r>
        <w:t>Со</w:t>
      </w:r>
      <w:r>
        <w:t>гласно новым ФНП, процедура из-</w:t>
      </w:r>
      <w:r>
        <w:br/>
      </w:r>
      <w:r>
        <w:t>менилась с точностью «до наоборот».</w:t>
      </w:r>
    </w:p>
    <w:p w:rsidR="001D4D95" w:rsidRDefault="009C04AA" w:rsidP="007F22A9">
      <w:pPr>
        <w:pStyle w:val="20"/>
        <w:framePr w:w="3734" w:h="10944" w:hRule="exact" w:wrap="none" w:vAnchor="page" w:hAnchor="page" w:x="334" w:y="4686"/>
        <w:shd w:val="clear" w:color="auto" w:fill="auto"/>
        <w:ind w:left="560"/>
        <w:jc w:val="both"/>
      </w:pPr>
      <w:r>
        <w:t>Теперь для постановки на учет обору-</w:t>
      </w:r>
      <w:r>
        <w:br/>
        <w:t>до</w:t>
      </w:r>
      <w:r>
        <w:t>вания сначала нужно получить раз-</w:t>
      </w:r>
      <w:r>
        <w:br/>
        <w:t>решение на пуск в работу (акт готовно-</w:t>
      </w:r>
      <w:r>
        <w:br/>
        <w:t>сти оборудования к вводу в эксплуата-</w:t>
      </w:r>
      <w:r>
        <w:br/>
        <w:t>цию). Чтобы получить разрешение, соз-</w:t>
      </w:r>
      <w:r>
        <w:br/>
        <w:t>дается комиссия в следующем составе</w:t>
      </w:r>
      <w:r>
        <w:br/>
        <w:t>(раздел IV, п. 206):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numPr>
          <w:ilvl w:val="0"/>
          <w:numId w:val="1"/>
        </w:numPr>
        <w:shd w:val="clear" w:color="auto" w:fill="auto"/>
        <w:tabs>
          <w:tab w:val="left" w:pos="421"/>
        </w:tabs>
        <w:ind w:firstLine="220"/>
        <w:jc w:val="both"/>
      </w:pPr>
      <w:r>
        <w:t>Председатель комиссии - уполномоченный представите</w:t>
      </w:r>
      <w:r>
        <w:t>ль владельца оборудования.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numPr>
          <w:ilvl w:val="0"/>
          <w:numId w:val="1"/>
        </w:numPr>
        <w:shd w:val="clear" w:color="auto" w:fill="auto"/>
        <w:tabs>
          <w:tab w:val="left" w:pos="473"/>
        </w:tabs>
        <w:ind w:firstLine="220"/>
        <w:jc w:val="both"/>
      </w:pPr>
      <w:r>
        <w:t>Члены комиссии: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numPr>
          <w:ilvl w:val="0"/>
          <w:numId w:val="2"/>
        </w:numPr>
        <w:shd w:val="clear" w:color="auto" w:fill="auto"/>
        <w:tabs>
          <w:tab w:val="left" w:pos="387"/>
        </w:tabs>
        <w:ind w:firstLine="220"/>
        <w:jc w:val="both"/>
      </w:pPr>
      <w:r>
        <w:t>Специалист (специалисты) эксплуатирующей организации, ответственные за осуществление производственного контроля и за исправное состояние и безопасную эксплуатацию оборудования.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numPr>
          <w:ilvl w:val="0"/>
          <w:numId w:val="2"/>
        </w:numPr>
        <w:shd w:val="clear" w:color="auto" w:fill="auto"/>
        <w:tabs>
          <w:tab w:val="left" w:pos="394"/>
        </w:tabs>
        <w:ind w:firstLine="220"/>
        <w:jc w:val="both"/>
      </w:pPr>
      <w:r>
        <w:t xml:space="preserve">Уполномоченный представитель </w:t>
      </w:r>
      <w:r>
        <w:t>территориального управления Ростехнадзора.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numPr>
          <w:ilvl w:val="0"/>
          <w:numId w:val="2"/>
        </w:numPr>
        <w:shd w:val="clear" w:color="auto" w:fill="auto"/>
        <w:tabs>
          <w:tab w:val="left" w:pos="397"/>
        </w:tabs>
        <w:ind w:firstLine="220"/>
        <w:jc w:val="both"/>
      </w:pPr>
      <w:r>
        <w:t>Уполномоченный представитель организации - прежнего владельца оборудования (при смене владельца).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numPr>
          <w:ilvl w:val="0"/>
          <w:numId w:val="2"/>
        </w:numPr>
        <w:shd w:val="clear" w:color="auto" w:fill="auto"/>
        <w:tabs>
          <w:tab w:val="left" w:pos="394"/>
        </w:tabs>
        <w:ind w:firstLine="220"/>
        <w:jc w:val="both"/>
      </w:pPr>
      <w:r>
        <w:t>Уполномоченный представитель монтажной организации, если осуществлялся монтаж (доизготовление) оборудования на мест</w:t>
      </w:r>
      <w:r>
        <w:t>е его установки (использования).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shd w:val="clear" w:color="auto" w:fill="auto"/>
        <w:ind w:firstLine="220"/>
        <w:jc w:val="both"/>
      </w:pPr>
      <w:r>
        <w:t>В состав комиссии также могут быть включены представители организации, проводившей первичное техническое освидетельствование, экспертизу промышленной безопасности; организации- изготовителя и (или) поставщика оборудования.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shd w:val="clear" w:color="auto" w:fill="auto"/>
        <w:ind w:firstLine="220"/>
        <w:jc w:val="both"/>
      </w:pPr>
      <w:r>
        <w:t>Результаты работы комиссии отражаются в Акте готовности оборудования под давлением к вводу в эксплуатацию. Акт, подписанный председателем и членами комиссии, прикладывается к паспорту технического устройства. На основании Акта выдается разрешение на пуск о</w:t>
      </w:r>
      <w:r>
        <w:t>борудования в работу.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shd w:val="clear" w:color="auto" w:fill="auto"/>
        <w:ind w:firstLine="220"/>
        <w:jc w:val="both"/>
      </w:pPr>
      <w:r>
        <w:t>Разрешение на пуск в работу оборудования выдается комиссией в следующих случаях: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shd w:val="clear" w:color="auto" w:fill="auto"/>
        <w:tabs>
          <w:tab w:val="left" w:pos="447"/>
        </w:tabs>
        <w:ind w:firstLine="220"/>
        <w:jc w:val="both"/>
      </w:pPr>
      <w:r>
        <w:t>а)</w:t>
      </w:r>
      <w:r>
        <w:tab/>
        <w:t>при смене владельца оборудования, отработавшего срок службы;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shd w:val="clear" w:color="auto" w:fill="auto"/>
        <w:tabs>
          <w:tab w:val="left" w:pos="450"/>
        </w:tabs>
        <w:ind w:firstLine="220"/>
      </w:pPr>
      <w:r>
        <w:t>б)</w:t>
      </w:r>
      <w:r>
        <w:tab/>
        <w:t xml:space="preserve">после монтажа (доизготовления) на месте установки оборудования, транспортируемого к </w:t>
      </w:r>
      <w:r>
        <w:t>месту монтажа (доизготовления) отдельными деталями, элементами или блоками;</w:t>
      </w:r>
    </w:p>
    <w:p w:rsidR="007F22A9" w:rsidRDefault="009C04AA" w:rsidP="007F22A9">
      <w:pPr>
        <w:pStyle w:val="20"/>
        <w:framePr w:w="3283" w:h="11070" w:hRule="exact" w:wrap="none" w:vAnchor="page" w:hAnchor="page" w:x="4275" w:y="4674"/>
        <w:shd w:val="clear" w:color="auto" w:fill="auto"/>
        <w:tabs>
          <w:tab w:val="left" w:pos="447"/>
        </w:tabs>
        <w:ind w:firstLine="220"/>
      </w:pPr>
      <w:r>
        <w:t>в)</w:t>
      </w:r>
      <w:r>
        <w:tab/>
        <w:t>после реконструкции (модер</w:t>
      </w:r>
      <w:r w:rsidR="007F22A9">
        <w:t>-</w:t>
      </w:r>
    </w:p>
    <w:p w:rsidR="001D4D95" w:rsidRDefault="009C04AA" w:rsidP="007F22A9">
      <w:pPr>
        <w:pStyle w:val="20"/>
        <w:framePr w:w="3283" w:h="11070" w:hRule="exact" w:wrap="none" w:vAnchor="page" w:hAnchor="page" w:x="4275" w:y="4674"/>
        <w:shd w:val="clear" w:color="auto" w:fill="auto"/>
        <w:tabs>
          <w:tab w:val="left" w:pos="447"/>
        </w:tabs>
      </w:pPr>
      <w:r>
        <w:t>низации) или капитального ремонта с за</w:t>
      </w:r>
      <w:r w:rsidR="007F22A9">
        <w:t>-</w:t>
      </w:r>
    </w:p>
    <w:p w:rsidR="001D4D95" w:rsidRDefault="009C04AA" w:rsidP="007F22A9">
      <w:pPr>
        <w:pStyle w:val="20"/>
        <w:framePr w:w="3302" w:h="13490" w:hRule="exact" w:wrap="none" w:vAnchor="page" w:hAnchor="page" w:x="7750" w:y="2147"/>
        <w:shd w:val="clear" w:color="auto" w:fill="auto"/>
        <w:tabs>
          <w:tab w:val="left" w:pos="447"/>
        </w:tabs>
        <w:jc w:val="both"/>
      </w:pPr>
      <w:r>
        <w:t>меной основных элементов оборудования.</w:t>
      </w:r>
    </w:p>
    <w:p w:rsidR="001D4D95" w:rsidRDefault="009C04AA" w:rsidP="007F22A9">
      <w:pPr>
        <w:pStyle w:val="20"/>
        <w:framePr w:w="3302" w:h="13490" w:hRule="exact" w:wrap="none" w:vAnchor="page" w:hAnchor="page" w:x="7750" w:y="2147"/>
        <w:shd w:val="clear" w:color="auto" w:fill="auto"/>
        <w:ind w:firstLine="220"/>
        <w:jc w:val="both"/>
      </w:pPr>
      <w:r>
        <w:t>В срок, не превышающий 10 дней от даты пуска оборудования в работу, владе</w:t>
      </w:r>
      <w:r>
        <w:t>лец ОГЮ обязан представить в территориальный орган Ростехнадзора пакет документов для постановки оборудования на учет (раздел IV, п. 216 ФНП):</w:t>
      </w:r>
    </w:p>
    <w:p w:rsidR="001D4D95" w:rsidRDefault="009C04AA" w:rsidP="007F22A9">
      <w:pPr>
        <w:pStyle w:val="20"/>
        <w:framePr w:w="3302" w:h="13490" w:hRule="exact" w:wrap="none" w:vAnchor="page" w:hAnchor="page" w:x="7750" w:y="2147"/>
        <w:numPr>
          <w:ilvl w:val="0"/>
          <w:numId w:val="3"/>
        </w:numPr>
        <w:shd w:val="clear" w:color="auto" w:fill="auto"/>
        <w:tabs>
          <w:tab w:val="left" w:pos="423"/>
        </w:tabs>
        <w:ind w:firstLine="220"/>
        <w:jc w:val="both"/>
      </w:pPr>
      <w:r>
        <w:t>Заявление, содержащее информацию об эксплуатирующей организации с указанием места установки стационарного оборудо</w:t>
      </w:r>
      <w:r>
        <w:t>вания, места применения транспортабельного оборудования и планируемого периода его эксплуатации на указанном месте, а также места нахождения производственной площадки для ремонта и технического освидетельствования цистерн и планируемом регионе их применени</w:t>
      </w:r>
      <w:r>
        <w:t>я.</w:t>
      </w:r>
    </w:p>
    <w:p w:rsidR="001D4D95" w:rsidRDefault="009C04AA" w:rsidP="007F22A9">
      <w:pPr>
        <w:pStyle w:val="20"/>
        <w:framePr w:w="3302" w:h="13490" w:hRule="exact" w:wrap="none" w:vAnchor="page" w:hAnchor="page" w:x="7750" w:y="2147"/>
        <w:numPr>
          <w:ilvl w:val="0"/>
          <w:numId w:val="3"/>
        </w:numPr>
        <w:shd w:val="clear" w:color="auto" w:fill="auto"/>
        <w:tabs>
          <w:tab w:val="left" w:pos="423"/>
        </w:tabs>
        <w:ind w:firstLine="220"/>
        <w:jc w:val="both"/>
      </w:pPr>
      <w:r>
        <w:t>Копии акта готовности оборудования под давлением к вводу в эксплуатацию и приказа (разрешения) о вводе его в эксплуатацию.</w:t>
      </w:r>
    </w:p>
    <w:p w:rsidR="001D4D95" w:rsidRDefault="009C04AA" w:rsidP="007F22A9">
      <w:pPr>
        <w:pStyle w:val="20"/>
        <w:framePr w:w="3302" w:h="13490" w:hRule="exact" w:wrap="none" w:vAnchor="page" w:hAnchor="page" w:x="7750" w:y="2147"/>
        <w:numPr>
          <w:ilvl w:val="0"/>
          <w:numId w:val="3"/>
        </w:numPr>
        <w:shd w:val="clear" w:color="auto" w:fill="auto"/>
        <w:tabs>
          <w:tab w:val="left" w:pos="421"/>
        </w:tabs>
        <w:ind w:firstLine="220"/>
        <w:jc w:val="both"/>
      </w:pPr>
      <w:r>
        <w:t>Краткие сведения о подлежащем учету оборудовании, указанные в паспорте (в том числе сведения о дате проведения технического освиде</w:t>
      </w:r>
      <w:r>
        <w:t>тельствования или экспертизы промышленной безопасности и сроках следующего технического освидетельствования и/или экспертизы).</w:t>
      </w:r>
    </w:p>
    <w:p w:rsidR="001D4D95" w:rsidRDefault="009C04AA" w:rsidP="007F22A9">
      <w:pPr>
        <w:pStyle w:val="20"/>
        <w:framePr w:w="3302" w:h="13490" w:hRule="exact" w:wrap="none" w:vAnchor="page" w:hAnchor="page" w:x="7750" w:y="2147"/>
        <w:shd w:val="clear" w:color="auto" w:fill="auto"/>
        <w:ind w:firstLine="220"/>
        <w:jc w:val="both"/>
      </w:pPr>
      <w:r>
        <w:t>Документы для постановки на учет владелец ОНО вправе представить лично, заказным почтовым отправлением с уведомлением о вручении,</w:t>
      </w:r>
      <w:r>
        <w:t xml:space="preserve"> а также в виде электронного документа, подписанного квалифицированной электронной цифровой подписью.</w:t>
      </w:r>
    </w:p>
    <w:p w:rsidR="001D4D95" w:rsidRDefault="009C04AA" w:rsidP="007F22A9">
      <w:pPr>
        <w:pStyle w:val="20"/>
        <w:framePr w:w="3302" w:h="13490" w:hRule="exact" w:wrap="none" w:vAnchor="page" w:hAnchor="page" w:x="7750" w:y="2147"/>
        <w:shd w:val="clear" w:color="auto" w:fill="auto"/>
        <w:ind w:firstLine="220"/>
        <w:jc w:val="both"/>
      </w:pPr>
      <w:r>
        <w:t>В случае смены собственника или утилизации оборудования, работающего под избыточным давлением, теперь просто вносятся изменения в реестр данных технически</w:t>
      </w:r>
      <w:r>
        <w:t>х устройств. Другими словами, предыдущему владельцу оборудования не нужно снимать его с учета в территориальном Управлении Ростехнадзора.</w:t>
      </w:r>
    </w:p>
    <w:p w:rsidR="001D4D95" w:rsidRDefault="009C04AA" w:rsidP="007F22A9">
      <w:pPr>
        <w:pStyle w:val="20"/>
        <w:framePr w:w="3302" w:h="13490" w:hRule="exact" w:wrap="none" w:vAnchor="page" w:hAnchor="page" w:x="7750" w:y="2147"/>
        <w:shd w:val="clear" w:color="auto" w:fill="auto"/>
        <w:ind w:firstLine="220"/>
        <w:jc w:val="both"/>
      </w:pPr>
      <w:r>
        <w:t>Что касается списка документов для постановки на учет оборудования, то нововведением является Акт пуска оборудования в</w:t>
      </w:r>
      <w:r>
        <w:t xml:space="preserve"> работу (готовности оборудования под давлением к вводу в эксплуатацию). Новыми ФНП не предлагается какая-то рекомендуемая форма Акта, поэтому мы советуем собственникам ОПО обращаться в свой территориальный орган Ростехнадзора для согласования формы Акта пе</w:t>
      </w:r>
      <w:r>
        <w:t>ред пуском оборудования в эксплу</w:t>
      </w:r>
      <w:bookmarkStart w:id="1" w:name="_GoBack"/>
      <w:bookmarkEnd w:id="1"/>
      <w:r>
        <w:t xml:space="preserve">атацию. </w:t>
      </w:r>
      <w:r w:rsidR="007F22A9" w:rsidRPr="007F22A9">
        <w:rPr>
          <w:sz w:val="14"/>
          <w:szCs w:val="14"/>
        </w:rPr>
        <w:t>ТН</w:t>
      </w:r>
    </w:p>
    <w:p w:rsidR="001D4D95" w:rsidRDefault="009C04AA" w:rsidP="007F22A9">
      <w:pPr>
        <w:pStyle w:val="a5"/>
        <w:framePr w:wrap="none" w:vAnchor="page" w:hAnchor="page" w:x="4793" w:y="15932"/>
        <w:shd w:val="clear" w:color="auto" w:fill="auto"/>
        <w:spacing w:line="110" w:lineRule="exact"/>
        <w:jc w:val="both"/>
      </w:pPr>
      <w:r>
        <w:t xml:space="preserve">ТехНАДЗОР N«4 (101), апрель 2015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7F22A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tnadzor</w:t>
        </w:r>
        <w:r w:rsidRPr="007F22A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1D4D95" w:rsidRDefault="009C04AA" w:rsidP="007F22A9">
      <w:pPr>
        <w:pStyle w:val="23"/>
        <w:framePr w:wrap="none" w:vAnchor="page" w:hAnchor="page" w:x="10515" w:y="15892"/>
        <w:shd w:val="clear" w:color="auto" w:fill="000000"/>
        <w:spacing w:line="240" w:lineRule="exact"/>
        <w:jc w:val="both"/>
      </w:pPr>
      <w:r>
        <w:rPr>
          <w:rStyle w:val="24"/>
        </w:rPr>
        <w:t>25</w:t>
      </w:r>
    </w:p>
    <w:p w:rsidR="001D4D95" w:rsidRDefault="001D4D95" w:rsidP="007F22A9">
      <w:pPr>
        <w:jc w:val="both"/>
        <w:rPr>
          <w:sz w:val="2"/>
          <w:szCs w:val="2"/>
        </w:rPr>
      </w:pPr>
    </w:p>
    <w:sectPr w:rsidR="001D4D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AA" w:rsidRDefault="009C04AA">
      <w:r>
        <w:separator/>
      </w:r>
    </w:p>
  </w:endnote>
  <w:endnote w:type="continuationSeparator" w:id="0">
    <w:p w:rsidR="009C04AA" w:rsidRDefault="009C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AA" w:rsidRDefault="009C04AA"/>
  </w:footnote>
  <w:footnote w:type="continuationSeparator" w:id="0">
    <w:p w:rsidR="009C04AA" w:rsidRDefault="009C04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036D"/>
    <w:multiLevelType w:val="multilevel"/>
    <w:tmpl w:val="41E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BA5EC9"/>
    <w:multiLevelType w:val="multilevel"/>
    <w:tmpl w:val="374E1D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C164DA"/>
    <w:multiLevelType w:val="multilevel"/>
    <w:tmpl w:val="9380F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AD1B00"/>
    <w:multiLevelType w:val="hybridMultilevel"/>
    <w:tmpl w:val="813A0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A9"/>
    <w:multiLevelType w:val="hybridMultilevel"/>
    <w:tmpl w:val="59A80694"/>
    <w:lvl w:ilvl="0" w:tplc="0419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4D95"/>
    <w:rsid w:val="001D4D95"/>
    <w:rsid w:val="0042769D"/>
    <w:rsid w:val="007F22A9"/>
    <w:rsid w:val="009C04AA"/>
    <w:rsid w:val="00B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74882-77B3-46F3-9297-CF5A01AF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UnicodeMS7pt">
    <w:name w:val="Основной текст (2) + Arial Unicode MS;7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2">
    <w:name w:val="Колонтитул (2)_"/>
    <w:basedOn w:val="a0"/>
    <w:link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200"/>
      <w:u w:val="none"/>
    </w:rPr>
  </w:style>
  <w:style w:type="character" w:customStyle="1" w:styleId="24">
    <w:name w:val="Колонтитул (2)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-10"/>
      <w:w w:val="2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21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w w:val="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7D99-AB27-4504-8F3E-4C9AD2F8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Динара</cp:lastModifiedBy>
  <cp:revision>4</cp:revision>
  <dcterms:created xsi:type="dcterms:W3CDTF">2015-07-31T07:23:00Z</dcterms:created>
  <dcterms:modified xsi:type="dcterms:W3CDTF">2015-07-31T08:16:00Z</dcterms:modified>
</cp:coreProperties>
</file>